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3E57B6" w:rsidRDefault="00E81629" w:rsidP="00880F60">
      <w:pPr>
        <w:pStyle w:val="Title"/>
        <w:rPr>
          <w:lang w:val="pt-BR"/>
        </w:rPr>
      </w:pPr>
      <w:r w:rsidRPr="003E57B6">
        <w:rPr>
          <w:rFonts w:ascii="Georgia" w:eastAsia="Georgia" w:hAnsi="Georgia" w:cs="Georgia"/>
          <w:bCs/>
          <w:iCs/>
          <w:lang w:val="pt-BR"/>
        </w:rPr>
        <w:t>Material A</w:t>
      </w:r>
    </w:p>
    <w:p w:rsidR="006B31CC" w:rsidRPr="003E57B6" w:rsidRDefault="00E81629" w:rsidP="00E371C1">
      <w:pPr>
        <w:pStyle w:val="Subtitle"/>
        <w:rPr>
          <w:lang w:val="pt-BR"/>
        </w:rPr>
      </w:pPr>
      <w:r w:rsidRPr="003E57B6">
        <w:rPr>
          <w:rFonts w:ascii="Georgia" w:eastAsia="Georgia" w:hAnsi="Georgia" w:cs="Georgia"/>
          <w:lang w:val="pt-BR"/>
        </w:rPr>
        <w:t>Pagando a entrada</w:t>
      </w:r>
    </w:p>
    <w:p w:rsidR="00344909" w:rsidRPr="003E57B6" w:rsidRDefault="00E81629" w:rsidP="00344909">
      <w:pPr>
        <w:pStyle w:val="BodyText"/>
        <w:rPr>
          <w:sz w:val="28"/>
          <w:szCs w:val="28"/>
          <w:lang w:val="pt-BR"/>
        </w:rPr>
      </w:pPr>
      <w:r w:rsidRPr="003E57B6">
        <w:rPr>
          <w:noProof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8890</wp:posOffset>
            </wp:positionV>
            <wp:extent cx="2236470" cy="1295400"/>
            <wp:effectExtent l="19050" t="0" r="0" b="0"/>
            <wp:wrapSquare wrapText="bothSides"/>
            <wp:docPr id="5" name="Picture 2" descr="Description: C:\Users\Ellies Gaming PC\Downloads\bigstock-Mortgage-And-Down-Payment-2179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:\Users\Ellies Gaming PC\Downloads\bigstock-Mortgage-And-Down-Payment-21796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E57B6">
        <w:rPr>
          <w:rFonts w:eastAsia="Georgia" w:cs="Georgia"/>
          <w:sz w:val="28"/>
          <w:szCs w:val="28"/>
          <w:lang w:val="pt-BR"/>
        </w:rPr>
        <w:t>Preço da casa: US$ 285.000</w:t>
      </w:r>
    </w:p>
    <w:p w:rsidR="00344909" w:rsidRPr="003E57B6" w:rsidRDefault="00E81629" w:rsidP="00344909">
      <w:pPr>
        <w:pStyle w:val="BodyText"/>
        <w:rPr>
          <w:sz w:val="28"/>
          <w:szCs w:val="28"/>
          <w:lang w:val="pt-BR"/>
        </w:rPr>
      </w:pPr>
      <w:r w:rsidRPr="003E57B6">
        <w:rPr>
          <w:rFonts w:eastAsia="Georgia" w:cs="Georgia"/>
          <w:sz w:val="28"/>
          <w:szCs w:val="28"/>
          <w:lang w:val="pt-BR"/>
        </w:rPr>
        <w:t>Juros: 5%</w:t>
      </w:r>
    </w:p>
    <w:p w:rsidR="00344909" w:rsidRPr="003E57B6" w:rsidRDefault="00E81629" w:rsidP="00344909">
      <w:pPr>
        <w:pStyle w:val="BodyText"/>
        <w:rPr>
          <w:sz w:val="28"/>
          <w:szCs w:val="28"/>
          <w:lang w:val="pt-BR"/>
        </w:rPr>
      </w:pPr>
      <w:r w:rsidRPr="003E57B6">
        <w:rPr>
          <w:rFonts w:eastAsia="Georgia" w:cs="Georgia"/>
          <w:sz w:val="28"/>
          <w:szCs w:val="28"/>
          <w:lang w:val="pt-BR"/>
        </w:rPr>
        <w:t>Financiamento de 30 anos</w:t>
      </w:r>
    </w:p>
    <w:p w:rsidR="00344909" w:rsidRPr="003E57B6" w:rsidRDefault="006D541D" w:rsidP="00344909">
      <w:pPr>
        <w:rPr>
          <w:lang w:val="pt-BR"/>
        </w:rPr>
      </w:pPr>
    </w:p>
    <w:p w:rsidR="00E371C1" w:rsidRPr="003E57B6" w:rsidRDefault="006D541D" w:rsidP="00E371C1">
      <w:pPr>
        <w:rPr>
          <w:lang w:val="pt-BR"/>
        </w:rPr>
      </w:pPr>
    </w:p>
    <w:tbl>
      <w:tblPr>
        <w:tblStyle w:val="DP-Plain"/>
        <w:tblW w:w="5000" w:type="pct"/>
        <w:tblBorders>
          <w:insideH w:val="single" w:sz="6" w:space="0" w:color="A32020" w:themeColor="text2"/>
        </w:tblBorders>
        <w:tblLook w:val="04A0"/>
      </w:tblPr>
      <w:tblGrid>
        <w:gridCol w:w="4302"/>
        <w:gridCol w:w="1620"/>
        <w:gridCol w:w="1620"/>
        <w:gridCol w:w="1602"/>
      </w:tblGrid>
      <w:tr w:rsidR="00E00452" w:rsidRPr="003E57B6" w:rsidTr="003E57B6">
        <w:trPr>
          <w:cnfStyle w:val="100000000000"/>
        </w:trPr>
        <w:tc>
          <w:tcPr>
            <w:tcW w:w="4302" w:type="dxa"/>
          </w:tcPr>
          <w:p w:rsidR="0038599F" w:rsidRPr="003E57B6" w:rsidRDefault="00E81629" w:rsidP="0038599F">
            <w:pPr>
              <w:pStyle w:val="TableTitleArial"/>
              <w:rPr>
                <w:lang w:val="pt-BR"/>
              </w:rPr>
            </w:pPr>
            <w:r w:rsidRPr="003E57B6">
              <w:rPr>
                <w:rFonts w:eastAsia="Arial"/>
                <w:color w:val="000000"/>
                <w:szCs w:val="20"/>
                <w:lang w:val="pt-BR"/>
              </w:rPr>
              <w:t>Categoria</w:t>
            </w:r>
          </w:p>
        </w:tc>
        <w:tc>
          <w:tcPr>
            <w:tcW w:w="1620" w:type="dxa"/>
          </w:tcPr>
          <w:p w:rsidR="0038599F" w:rsidRPr="003E57B6" w:rsidRDefault="003E57B6" w:rsidP="00F16198">
            <w:pPr>
              <w:pStyle w:val="TableTitleArial"/>
              <w:jc w:val="right"/>
              <w:rPr>
                <w:lang w:val="pt-BR"/>
              </w:rPr>
            </w:pPr>
            <w:r w:rsidRPr="003E57B6">
              <w:rPr>
                <w:rFonts w:eastAsia="Arial"/>
                <w:color w:val="000000"/>
                <w:szCs w:val="20"/>
                <w:lang w:val="pt-BR"/>
              </w:rPr>
              <w:t xml:space="preserve">Entrada de </w:t>
            </w:r>
            <w:r w:rsidR="00E81629" w:rsidRPr="003E57B6">
              <w:rPr>
                <w:rFonts w:eastAsia="Arial"/>
                <w:color w:val="000000"/>
                <w:szCs w:val="20"/>
                <w:lang w:val="pt-BR"/>
              </w:rPr>
              <w:t xml:space="preserve">0% </w:t>
            </w:r>
          </w:p>
          <w:p w:rsidR="0038599F" w:rsidRPr="003E57B6" w:rsidRDefault="006D541D" w:rsidP="00F16198">
            <w:pPr>
              <w:pStyle w:val="TableTitleArial"/>
              <w:jc w:val="right"/>
              <w:rPr>
                <w:lang w:val="pt-BR"/>
              </w:rPr>
            </w:pPr>
          </w:p>
        </w:tc>
        <w:tc>
          <w:tcPr>
            <w:tcW w:w="1620" w:type="dxa"/>
          </w:tcPr>
          <w:p w:rsidR="0038599F" w:rsidRPr="003E57B6" w:rsidRDefault="00E81629" w:rsidP="003137DE">
            <w:pPr>
              <w:pStyle w:val="TableTitleArial"/>
              <w:jc w:val="right"/>
              <w:rPr>
                <w:lang w:val="pt-BR"/>
              </w:rPr>
            </w:pPr>
            <w:r w:rsidRPr="003E57B6">
              <w:rPr>
                <w:rFonts w:eastAsia="Arial"/>
                <w:color w:val="000000"/>
                <w:szCs w:val="20"/>
                <w:lang w:val="pt-BR"/>
              </w:rPr>
              <w:t>Entrada de 10%</w:t>
            </w:r>
          </w:p>
        </w:tc>
        <w:tc>
          <w:tcPr>
            <w:tcW w:w="1602" w:type="dxa"/>
          </w:tcPr>
          <w:p w:rsidR="0038599F" w:rsidRPr="003E57B6" w:rsidRDefault="00E81629" w:rsidP="003137DE">
            <w:pPr>
              <w:pStyle w:val="TableTitleArial"/>
              <w:jc w:val="right"/>
              <w:rPr>
                <w:lang w:val="pt-BR"/>
              </w:rPr>
            </w:pPr>
            <w:r w:rsidRPr="003E57B6">
              <w:rPr>
                <w:rFonts w:eastAsia="Arial"/>
                <w:color w:val="000000"/>
                <w:szCs w:val="20"/>
                <w:lang w:val="pt-BR"/>
              </w:rPr>
              <w:t>Entrada de 20%</w:t>
            </w:r>
          </w:p>
        </w:tc>
      </w:tr>
      <w:tr w:rsidR="00E00452" w:rsidRPr="003E57B6" w:rsidTr="003E57B6">
        <w:tc>
          <w:tcPr>
            <w:tcW w:w="4302" w:type="dxa"/>
          </w:tcPr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Quanto é a entrada?</w:t>
            </w:r>
          </w:p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(percentual em forma decimal x principal)</w:t>
            </w:r>
          </w:p>
        </w:tc>
        <w:tc>
          <w:tcPr>
            <w:tcW w:w="1620" w:type="dxa"/>
          </w:tcPr>
          <w:p w:rsidR="0038599F" w:rsidRPr="003E57B6" w:rsidRDefault="00E81629" w:rsidP="00342EBA">
            <w:pPr>
              <w:pStyle w:val="TabletextArial"/>
              <w:jc w:val="right"/>
              <w:rPr>
                <w:b/>
                <w:lang w:val="pt-BR"/>
              </w:rPr>
            </w:pPr>
            <w:r w:rsidRPr="003E57B6">
              <w:rPr>
                <w:rFonts w:eastAsia="Arial"/>
                <w:b/>
                <w:bCs/>
                <w:lang w:val="pt-BR"/>
              </w:rPr>
              <w:t>US$ 0</w:t>
            </w:r>
          </w:p>
        </w:tc>
        <w:tc>
          <w:tcPr>
            <w:tcW w:w="1620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  <w:tc>
          <w:tcPr>
            <w:tcW w:w="1602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</w:tr>
      <w:tr w:rsidR="00E00452" w:rsidRPr="003E57B6" w:rsidTr="003E57B6">
        <w:tc>
          <w:tcPr>
            <w:tcW w:w="4302" w:type="dxa"/>
          </w:tcPr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Quanto é o principal?</w:t>
            </w:r>
          </w:p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(preço da casa – entrada)</w:t>
            </w:r>
          </w:p>
        </w:tc>
        <w:tc>
          <w:tcPr>
            <w:tcW w:w="1620" w:type="dxa"/>
          </w:tcPr>
          <w:p w:rsidR="0038599F" w:rsidRPr="003E57B6" w:rsidRDefault="00E81629" w:rsidP="00342EBA">
            <w:pPr>
              <w:pStyle w:val="TabletextArial"/>
              <w:jc w:val="right"/>
              <w:rPr>
                <w:b/>
                <w:lang w:val="pt-BR"/>
              </w:rPr>
            </w:pPr>
            <w:r w:rsidRPr="003E57B6">
              <w:rPr>
                <w:rFonts w:eastAsia="Arial"/>
                <w:b/>
                <w:bCs/>
                <w:lang w:val="pt-BR"/>
              </w:rPr>
              <w:t>US$ 285.000</w:t>
            </w:r>
          </w:p>
        </w:tc>
        <w:tc>
          <w:tcPr>
            <w:tcW w:w="1620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  <w:tc>
          <w:tcPr>
            <w:tcW w:w="1602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</w:tr>
      <w:tr w:rsidR="00E00452" w:rsidRPr="003E57B6" w:rsidTr="003E57B6">
        <w:tc>
          <w:tcPr>
            <w:tcW w:w="4302" w:type="dxa"/>
            <w:shd w:val="clear" w:color="auto" w:fill="F4CACA" w:themeFill="text2" w:themeFillTint="33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  <w:tc>
          <w:tcPr>
            <w:tcW w:w="1620" w:type="dxa"/>
            <w:shd w:val="clear" w:color="auto" w:fill="F4CACA" w:themeFill="text2" w:themeFillTint="33"/>
          </w:tcPr>
          <w:p w:rsidR="0038599F" w:rsidRPr="003E57B6" w:rsidRDefault="006D541D" w:rsidP="00342EBA">
            <w:pPr>
              <w:pStyle w:val="TabletextArial"/>
              <w:jc w:val="right"/>
              <w:rPr>
                <w:b/>
                <w:lang w:val="pt-BR"/>
              </w:rPr>
            </w:pPr>
          </w:p>
        </w:tc>
        <w:tc>
          <w:tcPr>
            <w:tcW w:w="1620" w:type="dxa"/>
            <w:shd w:val="clear" w:color="auto" w:fill="F4CACA" w:themeFill="text2" w:themeFillTint="33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  <w:tc>
          <w:tcPr>
            <w:tcW w:w="1602" w:type="dxa"/>
            <w:shd w:val="clear" w:color="auto" w:fill="F4CACA" w:themeFill="text2" w:themeFillTint="33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</w:tr>
      <w:tr w:rsidR="00E00452" w:rsidRPr="003E57B6" w:rsidTr="003E57B6">
        <w:tc>
          <w:tcPr>
            <w:tcW w:w="4302" w:type="dxa"/>
          </w:tcPr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Prestação mensal:</w:t>
            </w:r>
          </w:p>
        </w:tc>
        <w:tc>
          <w:tcPr>
            <w:tcW w:w="1620" w:type="dxa"/>
          </w:tcPr>
          <w:p w:rsidR="0038599F" w:rsidRPr="003E57B6" w:rsidRDefault="00E81629" w:rsidP="00342EBA">
            <w:pPr>
              <w:pStyle w:val="TabletextArial"/>
              <w:jc w:val="right"/>
              <w:rPr>
                <w:b/>
                <w:lang w:val="pt-BR"/>
              </w:rPr>
            </w:pPr>
            <w:r w:rsidRPr="003E57B6">
              <w:rPr>
                <w:rFonts w:eastAsia="Arial"/>
                <w:b/>
                <w:bCs/>
                <w:lang w:val="pt-BR"/>
              </w:rPr>
              <w:t>US$ 1.530</w:t>
            </w:r>
          </w:p>
        </w:tc>
        <w:tc>
          <w:tcPr>
            <w:tcW w:w="1620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  <w:tc>
          <w:tcPr>
            <w:tcW w:w="1602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</w:tr>
      <w:tr w:rsidR="00E00452" w:rsidRPr="003E57B6" w:rsidTr="003E57B6">
        <w:tc>
          <w:tcPr>
            <w:tcW w:w="4302" w:type="dxa"/>
          </w:tcPr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Quantas prestações?</w:t>
            </w:r>
          </w:p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(número de anos x 12)</w:t>
            </w:r>
          </w:p>
        </w:tc>
        <w:tc>
          <w:tcPr>
            <w:tcW w:w="1620" w:type="dxa"/>
          </w:tcPr>
          <w:p w:rsidR="0038599F" w:rsidRPr="003E57B6" w:rsidRDefault="00E81629" w:rsidP="00342EBA">
            <w:pPr>
              <w:pStyle w:val="TabletextArial"/>
              <w:jc w:val="right"/>
              <w:rPr>
                <w:b/>
                <w:lang w:val="pt-BR"/>
              </w:rPr>
            </w:pPr>
            <w:r w:rsidRPr="003E57B6">
              <w:rPr>
                <w:rFonts w:eastAsia="Arial"/>
                <w:b/>
                <w:bCs/>
                <w:lang w:val="pt-BR"/>
              </w:rPr>
              <w:t>360</w:t>
            </w:r>
          </w:p>
        </w:tc>
        <w:tc>
          <w:tcPr>
            <w:tcW w:w="1620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  <w:tc>
          <w:tcPr>
            <w:tcW w:w="1602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</w:tr>
      <w:tr w:rsidR="00E00452" w:rsidRPr="003E57B6" w:rsidTr="003E57B6">
        <w:tc>
          <w:tcPr>
            <w:tcW w:w="4302" w:type="dxa"/>
          </w:tcPr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Qual é o custo total do principal e dos juros?</w:t>
            </w:r>
          </w:p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(prestação mensal x número de prestações)</w:t>
            </w:r>
          </w:p>
        </w:tc>
        <w:tc>
          <w:tcPr>
            <w:tcW w:w="1620" w:type="dxa"/>
          </w:tcPr>
          <w:p w:rsidR="0038599F" w:rsidRPr="003E57B6" w:rsidRDefault="00E81629" w:rsidP="00342EBA">
            <w:pPr>
              <w:pStyle w:val="TabletextArial"/>
              <w:jc w:val="right"/>
              <w:rPr>
                <w:b/>
                <w:lang w:val="pt-BR"/>
              </w:rPr>
            </w:pPr>
            <w:r w:rsidRPr="003E57B6">
              <w:rPr>
                <w:rFonts w:eastAsia="Arial"/>
                <w:b/>
                <w:bCs/>
                <w:lang w:val="pt-BR"/>
              </w:rPr>
              <w:t>US$ 550.800</w:t>
            </w:r>
          </w:p>
        </w:tc>
        <w:tc>
          <w:tcPr>
            <w:tcW w:w="1620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  <w:tc>
          <w:tcPr>
            <w:tcW w:w="1602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</w:tr>
      <w:tr w:rsidR="00E00452" w:rsidRPr="003E57B6" w:rsidTr="003E57B6">
        <w:tc>
          <w:tcPr>
            <w:tcW w:w="4302" w:type="dxa"/>
          </w:tcPr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Quanto foi pago de juros?</w:t>
            </w:r>
          </w:p>
          <w:p w:rsidR="0038599F" w:rsidRPr="003E57B6" w:rsidRDefault="00E81629" w:rsidP="00342EBA">
            <w:pPr>
              <w:pStyle w:val="TabletextArial"/>
              <w:rPr>
                <w:lang w:val="pt-BR"/>
              </w:rPr>
            </w:pPr>
            <w:r w:rsidRPr="003E57B6">
              <w:rPr>
                <w:rFonts w:eastAsia="Arial"/>
                <w:lang w:val="pt-BR"/>
              </w:rPr>
              <w:t>(custo total – principal)</w:t>
            </w:r>
          </w:p>
        </w:tc>
        <w:tc>
          <w:tcPr>
            <w:tcW w:w="1620" w:type="dxa"/>
          </w:tcPr>
          <w:p w:rsidR="0038599F" w:rsidRPr="003E57B6" w:rsidRDefault="00E81629" w:rsidP="00342EBA">
            <w:pPr>
              <w:pStyle w:val="TabletextArial"/>
              <w:jc w:val="right"/>
              <w:rPr>
                <w:b/>
                <w:lang w:val="pt-BR"/>
              </w:rPr>
            </w:pPr>
            <w:r w:rsidRPr="003E57B6">
              <w:rPr>
                <w:rFonts w:eastAsia="Arial"/>
                <w:b/>
                <w:bCs/>
                <w:lang w:val="pt-BR"/>
              </w:rPr>
              <w:t>US$ 265.800</w:t>
            </w:r>
          </w:p>
        </w:tc>
        <w:tc>
          <w:tcPr>
            <w:tcW w:w="1620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  <w:tc>
          <w:tcPr>
            <w:tcW w:w="1602" w:type="dxa"/>
          </w:tcPr>
          <w:p w:rsidR="0038599F" w:rsidRPr="003E57B6" w:rsidRDefault="006D541D" w:rsidP="00342EBA">
            <w:pPr>
              <w:pStyle w:val="TabletextArial"/>
              <w:rPr>
                <w:lang w:val="pt-BR"/>
              </w:rPr>
            </w:pPr>
          </w:p>
        </w:tc>
      </w:tr>
    </w:tbl>
    <w:p w:rsidR="00446686" w:rsidRPr="003E57B6" w:rsidRDefault="006D541D" w:rsidP="00342EBA">
      <w:pPr>
        <w:pStyle w:val="TabletextArial"/>
        <w:rPr>
          <w:lang w:val="pt-BR"/>
        </w:rPr>
      </w:pPr>
    </w:p>
    <w:p w:rsidR="00446686" w:rsidRPr="003E57B6" w:rsidRDefault="006D541D" w:rsidP="00446686">
      <w:pPr>
        <w:pStyle w:val="BodyText"/>
        <w:rPr>
          <w:lang w:val="pt-BR"/>
        </w:rPr>
      </w:pPr>
    </w:p>
    <w:sectPr w:rsidR="00446686" w:rsidRPr="003E57B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629" w:rsidRDefault="00E81629" w:rsidP="00E00452">
      <w:pPr>
        <w:spacing w:after="0" w:line="240" w:lineRule="auto"/>
      </w:pPr>
      <w:r>
        <w:separator/>
      </w:r>
    </w:p>
  </w:endnote>
  <w:endnote w:type="continuationSeparator" w:id="0">
    <w:p w:rsidR="00E81629" w:rsidRDefault="00E81629" w:rsidP="00E0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9837BD">
    <w:pPr>
      <w:pStyle w:val="Footer"/>
    </w:pPr>
    <w:r w:rsidRPr="009837BD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3E57B6" w:rsidRDefault="00E81629" w:rsidP="006D541D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 Todos os direitos reservados.  PwC refere-se à empresa membro nos Estados Unidos, e pode ocasionalmente referir-se à rede PwC.  Cada empresa membro é uma entidade legal separada. 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E81629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629" w:rsidRDefault="00E81629" w:rsidP="00E00452">
      <w:pPr>
        <w:spacing w:after="0" w:line="240" w:lineRule="auto"/>
      </w:pPr>
      <w:r>
        <w:separator/>
      </w:r>
    </w:p>
  </w:footnote>
  <w:footnote w:type="continuationSeparator" w:id="0">
    <w:p w:rsidR="00E81629" w:rsidRDefault="00E81629" w:rsidP="00E00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E00452" w:rsidTr="0084517A">
      <w:tc>
        <w:tcPr>
          <w:tcW w:w="5000" w:type="pct"/>
        </w:tcPr>
        <w:p w:rsidR="002F372E" w:rsidRPr="009B5B65" w:rsidRDefault="006D541D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837BD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E81629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1BD29806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96A260C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AA90E23C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C680C31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8A6CCA46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65E6834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8CCE55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A2844CE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8BEEA43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27D0A52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1B69230" w:tentative="1">
      <w:start w:val="1"/>
      <w:numFmt w:val="lowerLetter"/>
      <w:lvlText w:val="%2."/>
      <w:lvlJc w:val="left"/>
      <w:pPr>
        <w:ind w:left="2246" w:hanging="360"/>
      </w:pPr>
    </w:lvl>
    <w:lvl w:ilvl="2" w:tplc="C792C42C" w:tentative="1">
      <w:start w:val="1"/>
      <w:numFmt w:val="lowerRoman"/>
      <w:lvlText w:val="%3."/>
      <w:lvlJc w:val="right"/>
      <w:pPr>
        <w:ind w:left="2966" w:hanging="180"/>
      </w:pPr>
    </w:lvl>
    <w:lvl w:ilvl="3" w:tplc="4E9404E2" w:tentative="1">
      <w:start w:val="1"/>
      <w:numFmt w:val="decimal"/>
      <w:lvlText w:val="%4."/>
      <w:lvlJc w:val="left"/>
      <w:pPr>
        <w:ind w:left="3686" w:hanging="360"/>
      </w:pPr>
    </w:lvl>
    <w:lvl w:ilvl="4" w:tplc="BE4CED7C" w:tentative="1">
      <w:start w:val="1"/>
      <w:numFmt w:val="lowerLetter"/>
      <w:lvlText w:val="%5."/>
      <w:lvlJc w:val="left"/>
      <w:pPr>
        <w:ind w:left="4406" w:hanging="360"/>
      </w:pPr>
    </w:lvl>
    <w:lvl w:ilvl="5" w:tplc="6FE63290" w:tentative="1">
      <w:start w:val="1"/>
      <w:numFmt w:val="lowerRoman"/>
      <w:lvlText w:val="%6."/>
      <w:lvlJc w:val="right"/>
      <w:pPr>
        <w:ind w:left="5126" w:hanging="180"/>
      </w:pPr>
    </w:lvl>
    <w:lvl w:ilvl="6" w:tplc="4202D996" w:tentative="1">
      <w:start w:val="1"/>
      <w:numFmt w:val="decimal"/>
      <w:lvlText w:val="%7."/>
      <w:lvlJc w:val="left"/>
      <w:pPr>
        <w:ind w:left="5846" w:hanging="360"/>
      </w:pPr>
    </w:lvl>
    <w:lvl w:ilvl="7" w:tplc="FDB25EF4" w:tentative="1">
      <w:start w:val="1"/>
      <w:numFmt w:val="lowerLetter"/>
      <w:lvlText w:val="%8."/>
      <w:lvlJc w:val="left"/>
      <w:pPr>
        <w:ind w:left="6566" w:hanging="360"/>
      </w:pPr>
    </w:lvl>
    <w:lvl w:ilvl="8" w:tplc="35AEC19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E9E8246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4212265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16C02E1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5E41668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FB1639C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C78E09D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2C16D0F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5D0DF4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6F50EBC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50E61E3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6A2F4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DE55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AB6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1E49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E067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A04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C9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9ED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386C159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A9C2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AE8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B28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036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C4A4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5453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2EDE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24B1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E00452"/>
    <w:rsid w:val="003E57B6"/>
    <w:rsid w:val="006D541D"/>
    <w:rsid w:val="009837BD"/>
    <w:rsid w:val="00E00452"/>
    <w:rsid w:val="00E81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4FCE9-7982-4E9A-A14A-D240DC09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2012-07-19T20:44:00Z</cp:lastPrinted>
  <dcterms:created xsi:type="dcterms:W3CDTF">2012-12-25T23:23:00Z</dcterms:created>
  <dcterms:modified xsi:type="dcterms:W3CDTF">2012-12-25T23:23:00Z</dcterms:modified>
</cp:coreProperties>
</file>